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FD4F" w14:textId="710992BB" w:rsidR="00B94BE1" w:rsidRPr="00E53C28" w:rsidRDefault="000752B7" w:rsidP="00E53C28">
      <w:pPr>
        <w:jc w:val="right"/>
        <w:rPr>
          <w:rFonts w:cs="Calibri"/>
        </w:rPr>
      </w:pPr>
      <w:r w:rsidRPr="00E53C28">
        <w:rPr>
          <w:rFonts w:cs="Calibri"/>
        </w:rPr>
        <w:t xml:space="preserve">October </w:t>
      </w:r>
      <w:r w:rsidR="006134CA" w:rsidRPr="00E53C28">
        <w:rPr>
          <w:rFonts w:cs="Calibri"/>
        </w:rPr>
        <w:t>2023</w:t>
      </w:r>
    </w:p>
    <w:p w14:paraId="26D042CF" w14:textId="3068F0D6" w:rsidR="00352603" w:rsidRPr="00E53C28" w:rsidRDefault="00A30198" w:rsidP="00080703">
      <w:pPr>
        <w:pStyle w:val="Heading2"/>
        <w:rPr>
          <w:rStyle w:val="SubtleEmphasis"/>
          <w:rFonts w:ascii="Calibri" w:hAnsi="Calibri" w:cs="Calibri"/>
          <w:i w:val="0"/>
          <w:iCs w:val="0"/>
          <w:color w:val="365F91" w:themeColor="accent1" w:themeShade="BF"/>
        </w:rPr>
      </w:pPr>
      <w:r w:rsidRPr="00E53C28">
        <w:rPr>
          <w:rStyle w:val="SubtleEmphasis"/>
          <w:rFonts w:ascii="Calibri" w:hAnsi="Calibri" w:cs="Calibri"/>
          <w:i w:val="0"/>
          <w:iCs w:val="0"/>
          <w:color w:val="365F91" w:themeColor="accent1" w:themeShade="BF"/>
        </w:rPr>
        <w:t xml:space="preserve">Background </w:t>
      </w:r>
    </w:p>
    <w:p w14:paraId="4753F6DF" w14:textId="00EA5DFA" w:rsidR="008C44FB" w:rsidRPr="00E53C28" w:rsidRDefault="00DC5049" w:rsidP="004F368E">
      <w:pPr>
        <w:jc w:val="both"/>
        <w:rPr>
          <w:rFonts w:cs="Calibri"/>
        </w:rPr>
      </w:pPr>
      <w:r w:rsidRPr="00E53C28">
        <w:rPr>
          <w:rFonts w:cs="Calibri"/>
        </w:rPr>
        <w:t xml:space="preserve">Since 2013 </w:t>
      </w:r>
      <w:r w:rsidR="00220CD7" w:rsidRPr="00E53C28">
        <w:rPr>
          <w:rFonts w:cs="Calibri"/>
        </w:rPr>
        <w:t>the LMC</w:t>
      </w:r>
      <w:r w:rsidRPr="00E53C28">
        <w:rPr>
          <w:rFonts w:cs="Calibri"/>
        </w:rPr>
        <w:t xml:space="preserve"> </w:t>
      </w:r>
      <w:r w:rsidR="00BB0597" w:rsidRPr="00E53C28">
        <w:rPr>
          <w:rFonts w:cs="Calibri"/>
        </w:rPr>
        <w:t>believe</w:t>
      </w:r>
      <w:r w:rsidR="00220CD7" w:rsidRPr="00E53C28">
        <w:rPr>
          <w:rFonts w:cs="Calibri"/>
        </w:rPr>
        <w:t xml:space="preserve">s that it has </w:t>
      </w:r>
      <w:r w:rsidRPr="00E53C28">
        <w:rPr>
          <w:rFonts w:cs="Calibri"/>
        </w:rPr>
        <w:t xml:space="preserve">provided </w:t>
      </w:r>
      <w:proofErr w:type="gramStart"/>
      <w:r w:rsidRPr="00E53C28">
        <w:rPr>
          <w:rFonts w:cs="Calibri"/>
        </w:rPr>
        <w:t>an</w:t>
      </w:r>
      <w:proofErr w:type="gramEnd"/>
      <w:r w:rsidRPr="00E53C28">
        <w:rPr>
          <w:rFonts w:cs="Calibri"/>
        </w:rPr>
        <w:t xml:space="preserve"> extremely cost effective insurance based indemnity facility</w:t>
      </w:r>
      <w:r w:rsidR="000E254E" w:rsidRPr="00E53C28">
        <w:rPr>
          <w:rFonts w:cs="Calibri"/>
        </w:rPr>
        <w:t>,</w:t>
      </w:r>
      <w:r w:rsidR="00877F7D" w:rsidRPr="00E53C28">
        <w:rPr>
          <w:rFonts w:cs="Calibri"/>
        </w:rPr>
        <w:t xml:space="preserve"> in comparison to competitors,</w:t>
      </w:r>
      <w:r w:rsidR="000E254E" w:rsidRPr="00E53C28">
        <w:rPr>
          <w:rFonts w:cs="Calibri"/>
        </w:rPr>
        <w:t xml:space="preserve"> which protects against</w:t>
      </w:r>
      <w:r w:rsidR="00877F7D" w:rsidRPr="00E53C28">
        <w:rPr>
          <w:rFonts w:cs="Calibri"/>
        </w:rPr>
        <w:t xml:space="preserve"> costs and</w:t>
      </w:r>
      <w:r w:rsidR="000E254E" w:rsidRPr="00E53C28">
        <w:rPr>
          <w:rFonts w:cs="Calibri"/>
        </w:rPr>
        <w:t xml:space="preserve"> damages </w:t>
      </w:r>
      <w:r w:rsidR="00895566" w:rsidRPr="00E53C28">
        <w:rPr>
          <w:rFonts w:cs="Calibri"/>
        </w:rPr>
        <w:t xml:space="preserve">arising from </w:t>
      </w:r>
      <w:r w:rsidR="000E254E" w:rsidRPr="00E53C28">
        <w:rPr>
          <w:rFonts w:cs="Calibri"/>
        </w:rPr>
        <w:t xml:space="preserve">potential Employment Tribunal </w:t>
      </w:r>
      <w:r w:rsidR="008C44FB" w:rsidRPr="00E53C28">
        <w:rPr>
          <w:rFonts w:cs="Calibri"/>
        </w:rPr>
        <w:t>cases. Initially, cover was guaranteed if insured parties followed advice from the LMC professional HR team and any other supplementary advice provided by our legal advisors.</w:t>
      </w:r>
    </w:p>
    <w:p w14:paraId="6D7ABA48" w14:textId="594D4B0A" w:rsidR="00C31DFD" w:rsidRPr="00E53C28" w:rsidRDefault="008C44FB" w:rsidP="004F368E">
      <w:pPr>
        <w:jc w:val="both"/>
        <w:rPr>
          <w:rFonts w:cs="Calibri"/>
        </w:rPr>
      </w:pPr>
      <w:r w:rsidRPr="00E53C28">
        <w:rPr>
          <w:rFonts w:cs="Calibri"/>
        </w:rPr>
        <w:t xml:space="preserve">More recently this </w:t>
      </w:r>
      <w:r w:rsidR="00B83F99" w:rsidRPr="00E53C28">
        <w:rPr>
          <w:rFonts w:cs="Calibri"/>
        </w:rPr>
        <w:t xml:space="preserve">simple model has become complex </w:t>
      </w:r>
      <w:r w:rsidR="002B14A2" w:rsidRPr="00E53C28">
        <w:rPr>
          <w:rFonts w:cs="Calibri"/>
        </w:rPr>
        <w:t>because of</w:t>
      </w:r>
      <w:r w:rsidR="00B83F99" w:rsidRPr="00E53C28">
        <w:rPr>
          <w:rFonts w:cs="Calibri"/>
        </w:rPr>
        <w:t xml:space="preserve"> our original provider demanding further arbitration</w:t>
      </w:r>
      <w:r w:rsidR="00895566" w:rsidRPr="00E53C28">
        <w:rPr>
          <w:rFonts w:cs="Calibri"/>
        </w:rPr>
        <w:t xml:space="preserve"> around t</w:t>
      </w:r>
      <w:r w:rsidR="00B83F99" w:rsidRPr="00E53C28">
        <w:rPr>
          <w:rFonts w:cs="Calibri"/>
        </w:rPr>
        <w:t xml:space="preserve">he validity of claims from an external </w:t>
      </w:r>
      <w:r w:rsidR="00662349" w:rsidRPr="00E53C28">
        <w:rPr>
          <w:rFonts w:cs="Calibri"/>
        </w:rPr>
        <w:t>third-party</w:t>
      </w:r>
      <w:r w:rsidR="00B83F99" w:rsidRPr="00E53C28">
        <w:rPr>
          <w:rFonts w:cs="Calibri"/>
        </w:rPr>
        <w:t xml:space="preserve"> </w:t>
      </w:r>
      <w:r w:rsidR="00996788" w:rsidRPr="00E53C28">
        <w:rPr>
          <w:rFonts w:cs="Calibri"/>
        </w:rPr>
        <w:t xml:space="preserve">solicitor </w:t>
      </w:r>
      <w:r w:rsidR="00B83F99" w:rsidRPr="00E53C28">
        <w:rPr>
          <w:rFonts w:cs="Calibri"/>
        </w:rPr>
        <w:t>as part of their business</w:t>
      </w:r>
      <w:r w:rsidR="00895566" w:rsidRPr="00E53C28">
        <w:rPr>
          <w:rFonts w:cs="Calibri"/>
        </w:rPr>
        <w:t xml:space="preserve"> model</w:t>
      </w:r>
      <w:r w:rsidR="00B83F99" w:rsidRPr="00E53C28">
        <w:rPr>
          <w:rFonts w:cs="Calibri"/>
        </w:rPr>
        <w:t xml:space="preserve">. </w:t>
      </w:r>
      <w:r w:rsidR="008349ED" w:rsidRPr="00E53C28">
        <w:rPr>
          <w:rFonts w:cs="Calibri"/>
        </w:rPr>
        <w:t xml:space="preserve">As a result, this has led </w:t>
      </w:r>
      <w:r w:rsidR="003601EC" w:rsidRPr="00E53C28">
        <w:rPr>
          <w:rFonts w:cs="Calibri"/>
        </w:rPr>
        <w:t>to: -</w:t>
      </w:r>
      <w:r w:rsidR="008349ED" w:rsidRPr="00E53C28">
        <w:rPr>
          <w:rFonts w:cs="Calibri"/>
        </w:rPr>
        <w:t xml:space="preserve"> </w:t>
      </w:r>
    </w:p>
    <w:p w14:paraId="26912815" w14:textId="383EFAC7" w:rsidR="005D28EF" w:rsidRPr="00E53C28" w:rsidRDefault="00895566" w:rsidP="004F368E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</w:rPr>
      </w:pPr>
      <w:r w:rsidRPr="00E53C28">
        <w:rPr>
          <w:rFonts w:cs="Calibri"/>
        </w:rPr>
        <w:t>a</w:t>
      </w:r>
      <w:r w:rsidR="00C31DFD" w:rsidRPr="00E53C28">
        <w:rPr>
          <w:rFonts w:cs="Calibri"/>
        </w:rPr>
        <w:t xml:space="preserve"> decrease in </w:t>
      </w:r>
      <w:r w:rsidR="00D048FD" w:rsidRPr="00E53C28">
        <w:rPr>
          <w:rFonts w:cs="Calibri"/>
        </w:rPr>
        <w:t>confidence of the product</w:t>
      </w:r>
      <w:r w:rsidRPr="00E53C28">
        <w:rPr>
          <w:rFonts w:cs="Calibri"/>
        </w:rPr>
        <w:t>,</w:t>
      </w:r>
      <w:r w:rsidR="00D048FD" w:rsidRPr="00E53C28">
        <w:rPr>
          <w:rFonts w:cs="Calibri"/>
        </w:rPr>
        <w:t xml:space="preserve"> </w:t>
      </w:r>
    </w:p>
    <w:p w14:paraId="70BBCB66" w14:textId="13523A51" w:rsidR="00D048FD" w:rsidRPr="00E53C28" w:rsidRDefault="00895566" w:rsidP="004F368E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</w:rPr>
      </w:pPr>
      <w:r w:rsidRPr="00E53C28">
        <w:rPr>
          <w:rFonts w:cs="Calibri"/>
        </w:rPr>
        <w:t xml:space="preserve">our </w:t>
      </w:r>
      <w:r w:rsidR="003601EC" w:rsidRPr="00E53C28">
        <w:rPr>
          <w:rFonts w:cs="Calibri"/>
        </w:rPr>
        <w:t>losing</w:t>
      </w:r>
      <w:r w:rsidR="008349ED" w:rsidRPr="00E53C28">
        <w:rPr>
          <w:rFonts w:cs="Calibri"/>
        </w:rPr>
        <w:t xml:space="preserve"> control of the </w:t>
      </w:r>
      <w:r w:rsidR="002B14A2" w:rsidRPr="00E53C28">
        <w:rPr>
          <w:rFonts w:cs="Calibri"/>
        </w:rPr>
        <w:t>process</w:t>
      </w:r>
      <w:r w:rsidRPr="00E53C28">
        <w:rPr>
          <w:rFonts w:cs="Calibri"/>
        </w:rPr>
        <w:t>,</w:t>
      </w:r>
      <w:r w:rsidR="008349ED" w:rsidRPr="00E53C28">
        <w:rPr>
          <w:rFonts w:cs="Calibri"/>
        </w:rPr>
        <w:t xml:space="preserve"> </w:t>
      </w:r>
    </w:p>
    <w:p w14:paraId="01E1A3D2" w14:textId="6DEC394A" w:rsidR="00D55440" w:rsidRPr="00E53C28" w:rsidRDefault="00895566" w:rsidP="004F368E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</w:rPr>
      </w:pPr>
      <w:r w:rsidRPr="00E53C28">
        <w:rPr>
          <w:rFonts w:cs="Calibri"/>
        </w:rPr>
        <w:t xml:space="preserve">unnecessary uncertainty for the </w:t>
      </w:r>
      <w:r w:rsidR="008B264E" w:rsidRPr="00E53C28">
        <w:rPr>
          <w:rFonts w:cs="Calibri"/>
        </w:rPr>
        <w:t>Practice/ PCN</w:t>
      </w:r>
    </w:p>
    <w:p w14:paraId="48480A7D" w14:textId="1F98BCEF" w:rsidR="00EA3C28" w:rsidRPr="00E53C28" w:rsidRDefault="00895566" w:rsidP="00BA7C11">
      <w:pPr>
        <w:pStyle w:val="ListParagraph"/>
        <w:numPr>
          <w:ilvl w:val="0"/>
          <w:numId w:val="10"/>
        </w:numPr>
        <w:spacing w:after="0"/>
        <w:jc w:val="both"/>
        <w:rPr>
          <w:rFonts w:cs="Calibri"/>
        </w:rPr>
      </w:pPr>
      <w:r w:rsidRPr="00E53C28">
        <w:rPr>
          <w:rFonts w:cs="Calibri"/>
        </w:rPr>
        <w:t xml:space="preserve">complication </w:t>
      </w:r>
      <w:r w:rsidR="0065534D" w:rsidRPr="00E53C28">
        <w:rPr>
          <w:rFonts w:cs="Calibri"/>
        </w:rPr>
        <w:t xml:space="preserve">in the </w:t>
      </w:r>
      <w:r w:rsidR="00D55440" w:rsidRPr="00E53C28">
        <w:rPr>
          <w:rFonts w:cs="Calibri"/>
        </w:rPr>
        <w:t xml:space="preserve">validation of claims </w:t>
      </w:r>
      <w:r w:rsidR="00BB03E7" w:rsidRPr="00E53C28">
        <w:rPr>
          <w:rFonts w:cs="Calibri"/>
        </w:rPr>
        <w:t xml:space="preserve"> </w:t>
      </w:r>
    </w:p>
    <w:p w14:paraId="3DE7904E" w14:textId="7B32AE03" w:rsidR="00A30198" w:rsidRPr="00E53C28" w:rsidRDefault="008C44FB" w:rsidP="004F368E">
      <w:pPr>
        <w:pStyle w:val="Subtitle"/>
        <w:jc w:val="both"/>
        <w:rPr>
          <w:rFonts w:ascii="Calibri" w:hAnsi="Calibri" w:cs="Calibri"/>
        </w:rPr>
      </w:pPr>
      <w:r w:rsidRPr="00E53C28">
        <w:rPr>
          <w:rFonts w:ascii="Calibri" w:hAnsi="Calibri" w:cs="Calibri"/>
        </w:rPr>
        <w:t xml:space="preserve"> </w:t>
      </w:r>
    </w:p>
    <w:p w14:paraId="174945A5" w14:textId="244E5E3B" w:rsidR="00A30198" w:rsidRPr="00E53C28" w:rsidRDefault="00A30198" w:rsidP="00080703">
      <w:pPr>
        <w:pStyle w:val="Heading2"/>
        <w:rPr>
          <w:rFonts w:ascii="Calibri" w:hAnsi="Calibri" w:cs="Calibri"/>
        </w:rPr>
      </w:pPr>
      <w:r w:rsidRPr="00E53C28">
        <w:rPr>
          <w:rFonts w:ascii="Calibri" w:hAnsi="Calibri" w:cs="Calibri"/>
        </w:rPr>
        <w:t xml:space="preserve">Proposal </w:t>
      </w:r>
    </w:p>
    <w:p w14:paraId="51EBB4DD" w14:textId="2CECE878" w:rsidR="00C71346" w:rsidRPr="00E53C28" w:rsidRDefault="00895566" w:rsidP="004F368E">
      <w:pPr>
        <w:jc w:val="both"/>
        <w:rPr>
          <w:rFonts w:cs="Calibri"/>
        </w:rPr>
      </w:pPr>
      <w:r w:rsidRPr="00E53C28">
        <w:rPr>
          <w:rFonts w:cs="Calibri"/>
        </w:rPr>
        <w:t>In the light of the above, w</w:t>
      </w:r>
      <w:r w:rsidR="004527FF" w:rsidRPr="00E53C28">
        <w:rPr>
          <w:rFonts w:cs="Calibri"/>
        </w:rPr>
        <w:t xml:space="preserve">e have reviewed the market in conjunction with our legal advisors and have interviewed in detail one </w:t>
      </w:r>
      <w:proofErr w:type="gramStart"/>
      <w:r w:rsidR="004527FF" w:rsidRPr="00E53C28">
        <w:rPr>
          <w:rFonts w:cs="Calibri"/>
        </w:rPr>
        <w:t>particular provider</w:t>
      </w:r>
      <w:proofErr w:type="gramEnd"/>
      <w:r w:rsidR="00662349" w:rsidRPr="00E53C28">
        <w:rPr>
          <w:rFonts w:cs="Calibri"/>
        </w:rPr>
        <w:t xml:space="preserve">, </w:t>
      </w:r>
      <w:r w:rsidR="00954F87" w:rsidRPr="00E53C28">
        <w:rPr>
          <w:rFonts w:cs="Calibri"/>
        </w:rPr>
        <w:t>ALS Albion Ltd</w:t>
      </w:r>
      <w:r w:rsidR="00662349" w:rsidRPr="00E53C28">
        <w:rPr>
          <w:rFonts w:cs="Calibri"/>
        </w:rPr>
        <w:t>,</w:t>
      </w:r>
      <w:r w:rsidR="00954F87" w:rsidRPr="00E53C28">
        <w:rPr>
          <w:rFonts w:cs="Calibri"/>
        </w:rPr>
        <w:t xml:space="preserve"> who are authorised and regulated by the FCA (No:310026),</w:t>
      </w:r>
      <w:r w:rsidR="00A903D6" w:rsidRPr="00E53C28">
        <w:rPr>
          <w:rFonts w:cs="Calibri"/>
        </w:rPr>
        <w:t xml:space="preserve"> </w:t>
      </w:r>
      <w:r w:rsidR="0094349A" w:rsidRPr="00E53C28">
        <w:rPr>
          <w:rFonts w:cs="Calibri"/>
        </w:rPr>
        <w:t xml:space="preserve">and </w:t>
      </w:r>
      <w:r w:rsidR="00A903D6" w:rsidRPr="00E53C28">
        <w:rPr>
          <w:rFonts w:cs="Calibri"/>
        </w:rPr>
        <w:t>who</w:t>
      </w:r>
      <w:r w:rsidR="00996788" w:rsidRPr="00E53C28">
        <w:rPr>
          <w:rFonts w:cs="Calibri"/>
        </w:rPr>
        <w:t>,</w:t>
      </w:r>
      <w:r w:rsidR="00A903D6" w:rsidRPr="00E53C28">
        <w:rPr>
          <w:rFonts w:cs="Calibri"/>
        </w:rPr>
        <w:t xml:space="preserve"> as part of their indemnity cover, cuts out the</w:t>
      </w:r>
      <w:r w:rsidR="00DA774E" w:rsidRPr="00E53C28">
        <w:rPr>
          <w:rFonts w:cs="Calibri"/>
        </w:rPr>
        <w:t xml:space="preserve"> unnecessary</w:t>
      </w:r>
      <w:r w:rsidR="00A903D6" w:rsidRPr="00E53C28">
        <w:rPr>
          <w:rFonts w:cs="Calibri"/>
        </w:rPr>
        <w:t xml:space="preserve"> </w:t>
      </w:r>
      <w:r w:rsidR="003601EC" w:rsidRPr="00E53C28">
        <w:rPr>
          <w:rFonts w:cs="Calibri"/>
        </w:rPr>
        <w:t>third-party</w:t>
      </w:r>
      <w:r w:rsidR="00E42833" w:rsidRPr="00E53C28">
        <w:rPr>
          <w:rFonts w:cs="Calibri"/>
        </w:rPr>
        <w:t xml:space="preserve"> </w:t>
      </w:r>
      <w:r w:rsidR="00F4226D" w:rsidRPr="00E53C28">
        <w:rPr>
          <w:rFonts w:cs="Calibri"/>
        </w:rPr>
        <w:t>arbitration</w:t>
      </w:r>
      <w:r w:rsidR="00E42833" w:rsidRPr="00E53C28">
        <w:rPr>
          <w:rFonts w:cs="Calibri"/>
        </w:rPr>
        <w:t>. This model closely reflects our original concept</w:t>
      </w:r>
      <w:r w:rsidR="009C7288" w:rsidRPr="00E53C28">
        <w:rPr>
          <w:rFonts w:cs="Calibri"/>
        </w:rPr>
        <w:t xml:space="preserve"> making for smoother </w:t>
      </w:r>
      <w:r w:rsidR="00091C4F" w:rsidRPr="00E53C28">
        <w:rPr>
          <w:rFonts w:cs="Calibri"/>
        </w:rPr>
        <w:t xml:space="preserve">communication between </w:t>
      </w:r>
      <w:r w:rsidR="006868FE" w:rsidRPr="00E53C28">
        <w:rPr>
          <w:rFonts w:cs="Calibri"/>
        </w:rPr>
        <w:t xml:space="preserve">ourselves, </w:t>
      </w:r>
      <w:r w:rsidR="008B264E" w:rsidRPr="00E53C28">
        <w:rPr>
          <w:rFonts w:cs="Calibri"/>
        </w:rPr>
        <w:t>you</w:t>
      </w:r>
      <w:r w:rsidR="0097754F" w:rsidRPr="00E53C28">
        <w:rPr>
          <w:rFonts w:cs="Calibri"/>
        </w:rPr>
        <w:t xml:space="preserve"> as the employer/ claimant</w:t>
      </w:r>
      <w:r w:rsidR="00D86B3A" w:rsidRPr="00E53C28">
        <w:rPr>
          <w:rFonts w:cs="Calibri"/>
        </w:rPr>
        <w:t xml:space="preserve">, </w:t>
      </w:r>
      <w:r w:rsidR="006868FE" w:rsidRPr="00E53C28">
        <w:rPr>
          <w:rFonts w:cs="Calibri"/>
        </w:rPr>
        <w:t xml:space="preserve">our </w:t>
      </w:r>
      <w:r w:rsidR="00D86B3A" w:rsidRPr="00E53C28">
        <w:rPr>
          <w:rFonts w:cs="Calibri"/>
        </w:rPr>
        <w:t xml:space="preserve">legal </w:t>
      </w:r>
      <w:r w:rsidR="003601EC" w:rsidRPr="00E53C28">
        <w:rPr>
          <w:rFonts w:cs="Calibri"/>
        </w:rPr>
        <w:t>advisor,</w:t>
      </w:r>
      <w:r w:rsidR="00D86B3A" w:rsidRPr="00E53C28">
        <w:rPr>
          <w:rFonts w:cs="Calibri"/>
        </w:rPr>
        <w:t xml:space="preserve"> and </w:t>
      </w:r>
      <w:r w:rsidR="006868FE" w:rsidRPr="00E53C28">
        <w:rPr>
          <w:rFonts w:cs="Calibri"/>
        </w:rPr>
        <w:t xml:space="preserve">the </w:t>
      </w:r>
      <w:r w:rsidR="00D86B3A" w:rsidRPr="00E53C28">
        <w:rPr>
          <w:rFonts w:cs="Calibri"/>
        </w:rPr>
        <w:t xml:space="preserve">insurance provider. </w:t>
      </w:r>
    </w:p>
    <w:p w14:paraId="2859307C" w14:textId="531830E2" w:rsidR="00DD7F8E" w:rsidRPr="00E53C28" w:rsidRDefault="00DD7F8E" w:rsidP="004F368E">
      <w:pPr>
        <w:jc w:val="both"/>
        <w:rPr>
          <w:rFonts w:cs="Calibri"/>
        </w:rPr>
      </w:pPr>
      <w:r w:rsidRPr="00E53C28">
        <w:rPr>
          <w:rFonts w:cs="Calibri"/>
        </w:rPr>
        <w:t xml:space="preserve">The indemnity covers employment disputes and all the legal costs, </w:t>
      </w:r>
      <w:proofErr w:type="gramStart"/>
      <w:r w:rsidRPr="00E53C28">
        <w:rPr>
          <w:rFonts w:cs="Calibri"/>
        </w:rPr>
        <w:t>settlement</w:t>
      </w:r>
      <w:proofErr w:type="gramEnd"/>
      <w:r w:rsidRPr="00E53C28">
        <w:rPr>
          <w:rFonts w:cs="Calibri"/>
        </w:rPr>
        <w:t xml:space="preserve"> and awards from the ACAS Conciliation notification throughout the Employment Tribunal.</w:t>
      </w:r>
    </w:p>
    <w:p w14:paraId="26ED83F8" w14:textId="4BCB5B8E" w:rsidR="00A30198" w:rsidRPr="00E53C28" w:rsidRDefault="00A30198" w:rsidP="00080703">
      <w:pPr>
        <w:pStyle w:val="Heading2"/>
        <w:rPr>
          <w:rFonts w:ascii="Calibri" w:hAnsi="Calibri" w:cs="Calibri"/>
        </w:rPr>
      </w:pPr>
      <w:r w:rsidRPr="00E53C28">
        <w:rPr>
          <w:rFonts w:ascii="Calibri" w:hAnsi="Calibri" w:cs="Calibri"/>
        </w:rPr>
        <w:t xml:space="preserve">Model </w:t>
      </w:r>
    </w:p>
    <w:p w14:paraId="2A0925E8" w14:textId="174F11A3" w:rsidR="000B03A8" w:rsidRDefault="000B03A8" w:rsidP="004F368E">
      <w:pPr>
        <w:jc w:val="both"/>
        <w:rPr>
          <w:rFonts w:cs="Calibri"/>
        </w:rPr>
      </w:pPr>
      <w:r w:rsidRPr="00E53C28">
        <w:rPr>
          <w:rFonts w:cs="Calibri"/>
        </w:rPr>
        <w:t>The model</w:t>
      </w:r>
      <w:r w:rsidR="006868FE" w:rsidRPr="00E53C28">
        <w:rPr>
          <w:rFonts w:cs="Calibri"/>
        </w:rPr>
        <w:t>,</w:t>
      </w:r>
      <w:r w:rsidRPr="00E53C28">
        <w:rPr>
          <w:rFonts w:cs="Calibri"/>
        </w:rPr>
        <w:t xml:space="preserve"> which we believe fits </w:t>
      </w:r>
      <w:r w:rsidR="007A1A51" w:rsidRPr="00E53C28">
        <w:rPr>
          <w:rFonts w:cs="Calibri"/>
        </w:rPr>
        <w:t xml:space="preserve">the original </w:t>
      </w:r>
      <w:r w:rsidR="002B14A2" w:rsidRPr="00E53C28">
        <w:rPr>
          <w:rFonts w:cs="Calibri"/>
        </w:rPr>
        <w:t>concept</w:t>
      </w:r>
      <w:r w:rsidR="007A1A51" w:rsidRPr="00E53C28">
        <w:rPr>
          <w:rFonts w:cs="Calibri"/>
        </w:rPr>
        <w:t xml:space="preserve"> we had, offers an </w:t>
      </w:r>
      <w:r w:rsidR="002B14A2" w:rsidRPr="00E53C28">
        <w:rPr>
          <w:rFonts w:cs="Calibri"/>
        </w:rPr>
        <w:t>umbrella</w:t>
      </w:r>
      <w:r w:rsidR="007A1A51" w:rsidRPr="00E53C28">
        <w:rPr>
          <w:rFonts w:cs="Calibri"/>
        </w:rPr>
        <w:t xml:space="preserve"> policy between the LMC and </w:t>
      </w:r>
      <w:r w:rsidR="006868FE" w:rsidRPr="00E53C28">
        <w:rPr>
          <w:rFonts w:cs="Calibri"/>
        </w:rPr>
        <w:t>ALS Albion Ltd</w:t>
      </w:r>
      <w:r w:rsidR="007A1A51" w:rsidRPr="00E53C28">
        <w:rPr>
          <w:rFonts w:cs="Calibri"/>
        </w:rPr>
        <w:t xml:space="preserve">, allowing individual Practices and PCNs to sign </w:t>
      </w:r>
      <w:proofErr w:type="gramStart"/>
      <w:r w:rsidR="007A1A51" w:rsidRPr="00E53C28">
        <w:rPr>
          <w:rFonts w:cs="Calibri"/>
        </w:rPr>
        <w:t>up in their own right</w:t>
      </w:r>
      <w:proofErr w:type="gramEnd"/>
      <w:r w:rsidR="007A1A51" w:rsidRPr="00E53C28">
        <w:rPr>
          <w:rFonts w:cs="Calibri"/>
        </w:rPr>
        <w:t>. Th</w:t>
      </w:r>
      <w:r w:rsidR="002D4EBA" w:rsidRPr="00E53C28">
        <w:rPr>
          <w:rFonts w:cs="Calibri"/>
        </w:rPr>
        <w:t xml:space="preserve">e model allows </w:t>
      </w:r>
      <w:r w:rsidR="00EC14AA" w:rsidRPr="00E53C28">
        <w:rPr>
          <w:rFonts w:cs="Calibri"/>
        </w:rPr>
        <w:t xml:space="preserve">the client, </w:t>
      </w:r>
      <w:r w:rsidR="0084058D" w:rsidRPr="00E53C28">
        <w:rPr>
          <w:rFonts w:cs="Calibri"/>
          <w:i/>
          <w:iCs/>
          <w:u w:val="single"/>
        </w:rPr>
        <w:t>you</w:t>
      </w:r>
      <w:r w:rsidR="0084058D" w:rsidRPr="00E53C28">
        <w:rPr>
          <w:rFonts w:cs="Calibri"/>
        </w:rPr>
        <w:t>, more</w:t>
      </w:r>
      <w:r w:rsidR="00EC14AA" w:rsidRPr="00E53C28">
        <w:rPr>
          <w:rFonts w:cs="Calibri"/>
        </w:rPr>
        <w:t xml:space="preserve"> control, by allowing you to sign up </w:t>
      </w:r>
      <w:proofErr w:type="gramStart"/>
      <w:r w:rsidR="00EC14AA" w:rsidRPr="00E53C28">
        <w:rPr>
          <w:rFonts w:cs="Calibri"/>
        </w:rPr>
        <w:t>on a monthly basis</w:t>
      </w:r>
      <w:proofErr w:type="gramEnd"/>
      <w:r w:rsidR="00EC14AA" w:rsidRPr="00E53C28">
        <w:rPr>
          <w:rFonts w:cs="Calibri"/>
        </w:rPr>
        <w:t xml:space="preserve">, </w:t>
      </w:r>
      <w:r w:rsidR="00A23FE3" w:rsidRPr="00E53C28">
        <w:rPr>
          <w:rFonts w:cs="Calibri"/>
        </w:rPr>
        <w:t>which can be opted out whenever suits</w:t>
      </w:r>
      <w:r w:rsidR="0094349A" w:rsidRPr="00E53C28">
        <w:rPr>
          <w:rFonts w:cs="Calibri"/>
        </w:rPr>
        <w:t xml:space="preserve">, meaning </w:t>
      </w:r>
      <w:r w:rsidR="00790155" w:rsidRPr="00E53C28">
        <w:rPr>
          <w:rFonts w:cs="Calibri"/>
        </w:rPr>
        <w:t xml:space="preserve">you are not tied into a </w:t>
      </w:r>
      <w:r w:rsidR="006868FE" w:rsidRPr="00E53C28">
        <w:rPr>
          <w:rFonts w:cs="Calibri"/>
        </w:rPr>
        <w:t>contract.</w:t>
      </w:r>
      <w:r w:rsidR="002B14A2" w:rsidRPr="00E53C28">
        <w:rPr>
          <w:rFonts w:cs="Calibri"/>
        </w:rPr>
        <w:t xml:space="preserve"> </w:t>
      </w:r>
    </w:p>
    <w:p w14:paraId="4F645DE0" w14:textId="77777777" w:rsidR="00E53C28" w:rsidRPr="00E53C28" w:rsidRDefault="00E53C28" w:rsidP="004F368E">
      <w:pPr>
        <w:jc w:val="both"/>
        <w:rPr>
          <w:rFonts w:cs="Calibri"/>
        </w:rPr>
      </w:pPr>
    </w:p>
    <w:p w14:paraId="7A88861F" w14:textId="142A59A3" w:rsidR="00A30198" w:rsidRPr="00E53C28" w:rsidRDefault="00A30198" w:rsidP="00080703">
      <w:pPr>
        <w:pStyle w:val="Heading2"/>
        <w:rPr>
          <w:rFonts w:ascii="Calibri" w:hAnsi="Calibri" w:cs="Calibri"/>
        </w:rPr>
      </w:pPr>
      <w:r w:rsidRPr="00E53C28">
        <w:rPr>
          <w:rFonts w:ascii="Calibri" w:hAnsi="Calibri" w:cs="Calibri"/>
        </w:rPr>
        <w:lastRenderedPageBreak/>
        <w:t>Implications</w:t>
      </w:r>
    </w:p>
    <w:p w14:paraId="291CC41D" w14:textId="3069923B" w:rsidR="00E6757C" w:rsidRPr="00E53C28" w:rsidRDefault="00172DA6" w:rsidP="00E53C28">
      <w:pPr>
        <w:jc w:val="both"/>
        <w:rPr>
          <w:rFonts w:cs="Calibri"/>
        </w:rPr>
      </w:pPr>
      <w:r w:rsidRPr="00E53C28">
        <w:rPr>
          <w:rFonts w:cs="Calibri"/>
        </w:rPr>
        <w:t xml:space="preserve">The </w:t>
      </w:r>
      <w:r w:rsidR="00EE12FE" w:rsidRPr="00E53C28">
        <w:rPr>
          <w:rFonts w:cs="Calibri"/>
        </w:rPr>
        <w:t xml:space="preserve">existing </w:t>
      </w:r>
      <w:r w:rsidRPr="00E53C28">
        <w:rPr>
          <w:rFonts w:cs="Calibri"/>
        </w:rPr>
        <w:t>co</w:t>
      </w:r>
      <w:r w:rsidR="00312766" w:rsidRPr="00E53C28">
        <w:rPr>
          <w:rFonts w:cs="Calibri"/>
        </w:rPr>
        <w:t xml:space="preserve">st </w:t>
      </w:r>
      <w:r w:rsidRPr="00E53C28">
        <w:rPr>
          <w:rFonts w:cs="Calibri"/>
        </w:rPr>
        <w:t xml:space="preserve">for </w:t>
      </w:r>
      <w:r w:rsidR="00EE12FE" w:rsidRPr="00E53C28">
        <w:rPr>
          <w:rFonts w:cs="Calibri"/>
        </w:rPr>
        <w:t>clients who have signed up to the indemnity in the past, may now</w:t>
      </w:r>
      <w:r w:rsidR="00312766" w:rsidRPr="00E53C28">
        <w:rPr>
          <w:rFonts w:cs="Calibri"/>
        </w:rPr>
        <w:t xml:space="preserve"> vary, although, at first sight, for </w:t>
      </w:r>
      <w:proofErr w:type="gramStart"/>
      <w:r w:rsidR="00312766" w:rsidRPr="00E53C28">
        <w:rPr>
          <w:rFonts w:cs="Calibri"/>
        </w:rPr>
        <w:t>the majority of</w:t>
      </w:r>
      <w:proofErr w:type="gramEnd"/>
      <w:r w:rsidR="00312766" w:rsidRPr="00E53C28">
        <w:rPr>
          <w:rFonts w:cs="Calibri"/>
        </w:rPr>
        <w:t xml:space="preserve"> Practices, it appears likely that there will be little difference ex</w:t>
      </w:r>
      <w:r w:rsidR="0097754F" w:rsidRPr="00E53C28">
        <w:rPr>
          <w:rFonts w:cs="Calibri"/>
        </w:rPr>
        <w:t>cept</w:t>
      </w:r>
      <w:r w:rsidR="00312766" w:rsidRPr="00E53C28">
        <w:rPr>
          <w:rFonts w:cs="Calibri"/>
        </w:rPr>
        <w:t xml:space="preserve"> for the largest employers. </w:t>
      </w:r>
      <w:r w:rsidR="00374EDC" w:rsidRPr="00E53C28">
        <w:rPr>
          <w:rFonts w:cs="Calibri"/>
        </w:rPr>
        <w:t>ALS Albion Ltd</w:t>
      </w:r>
      <w:r w:rsidR="00BF4B1E" w:rsidRPr="00E53C28">
        <w:rPr>
          <w:rFonts w:cs="Calibri"/>
        </w:rPr>
        <w:t xml:space="preserve">, would cost premiums </w:t>
      </w:r>
      <w:proofErr w:type="gramStart"/>
      <w:r w:rsidR="00BF4B1E" w:rsidRPr="00E53C28">
        <w:rPr>
          <w:rFonts w:cs="Calibri"/>
        </w:rPr>
        <w:t>on the basis of</w:t>
      </w:r>
      <w:proofErr w:type="gramEnd"/>
      <w:r w:rsidR="00BF4B1E" w:rsidRPr="00E53C28">
        <w:rPr>
          <w:rFonts w:cs="Calibri"/>
        </w:rPr>
        <w:t xml:space="preserve"> employee numbers, whereas it </w:t>
      </w:r>
      <w:r w:rsidR="002D3A2B" w:rsidRPr="00E53C28">
        <w:rPr>
          <w:rFonts w:cs="Calibri"/>
        </w:rPr>
        <w:t>was patient</w:t>
      </w:r>
      <w:r w:rsidR="00BF4B1E" w:rsidRPr="00E53C28">
        <w:rPr>
          <w:rFonts w:cs="Calibri"/>
        </w:rPr>
        <w:t xml:space="preserve"> numbers</w:t>
      </w:r>
      <w:r w:rsidR="006B3BD5" w:rsidRPr="00E53C28">
        <w:rPr>
          <w:rFonts w:cs="Calibri"/>
        </w:rPr>
        <w:t xml:space="preserve"> with our previous provider</w:t>
      </w:r>
      <w:r w:rsidR="006868FE" w:rsidRPr="00E53C28">
        <w:rPr>
          <w:rFonts w:cs="Calibri"/>
        </w:rPr>
        <w:t xml:space="preserve">; as a result, as indicated, the impact on larger employers may be more significant, but the formula appears to offer a more logical </w:t>
      </w:r>
      <w:r w:rsidR="00374EDC" w:rsidRPr="00E53C28">
        <w:rPr>
          <w:rFonts w:cs="Calibri"/>
        </w:rPr>
        <w:t xml:space="preserve">basis for assessment </w:t>
      </w:r>
      <w:r w:rsidR="006B3BD5" w:rsidRPr="00E53C28">
        <w:rPr>
          <w:rFonts w:cs="Calibri"/>
        </w:rPr>
        <w:t xml:space="preserve">in the circumstances. </w:t>
      </w:r>
    </w:p>
    <w:p w14:paraId="0FFD6ACB" w14:textId="6DFD4A6A" w:rsidR="00D73DEA" w:rsidRPr="00E53C28" w:rsidRDefault="00D73DEA" w:rsidP="00D73DEA">
      <w:pPr>
        <w:rPr>
          <w:rFonts w:cs="Calibri"/>
          <w:b/>
          <w:bCs/>
          <w:u w:val="single"/>
        </w:rPr>
      </w:pPr>
      <w:r w:rsidRPr="00E53C28">
        <w:rPr>
          <w:rFonts w:cs="Calibri"/>
          <w:b/>
          <w:bCs/>
          <w:u w:val="single"/>
        </w:rPr>
        <w:t>Monthly Premiums</w:t>
      </w:r>
    </w:p>
    <w:p w14:paraId="07F6A13A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1-15 employees – £25.00 + IPT</w:t>
      </w:r>
    </w:p>
    <w:p w14:paraId="1B93D962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16-25 employees - £33.33 + IPT</w:t>
      </w:r>
    </w:p>
    <w:p w14:paraId="120737A2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26-33 employees - £41.67 + IPT</w:t>
      </w:r>
    </w:p>
    <w:p w14:paraId="39EDE9B7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34-49 employees - £50.00 + IPT</w:t>
      </w:r>
    </w:p>
    <w:p w14:paraId="772BDD3B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50-69 employees - £72.92 + IPT</w:t>
      </w:r>
    </w:p>
    <w:p w14:paraId="68D312C6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70-85 employees - £91.25 + IPT</w:t>
      </w:r>
    </w:p>
    <w:p w14:paraId="048416F7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86-100 employees - £115.00 + IPT</w:t>
      </w:r>
    </w:p>
    <w:p w14:paraId="5A71BDD2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101-149 employees – £131.00 + IPT</w:t>
      </w:r>
    </w:p>
    <w:p w14:paraId="588C150D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150-199 employees – £146.00 + IPT (excess £1,000 as opposed to £500)</w:t>
      </w:r>
    </w:p>
    <w:p w14:paraId="111085EB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200-250 employees - £153.00 + IPT (excess £1,000 as opposed to £500)</w:t>
      </w:r>
    </w:p>
    <w:p w14:paraId="41EE34F4" w14:textId="60C8F452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>Above 250</w:t>
      </w:r>
      <w:r w:rsidR="00041021" w:rsidRPr="00E53C28">
        <w:rPr>
          <w:rFonts w:cs="Calibri"/>
        </w:rPr>
        <w:t xml:space="preserve"> </w:t>
      </w:r>
      <w:proofErr w:type="gramStart"/>
      <w:r w:rsidR="00041021" w:rsidRPr="00E53C28">
        <w:rPr>
          <w:rFonts w:cs="Calibri"/>
        </w:rPr>
        <w:t xml:space="preserve">employees </w:t>
      </w:r>
      <w:r w:rsidRPr="00E53C28">
        <w:rPr>
          <w:rFonts w:cs="Calibri"/>
        </w:rPr>
        <w:t xml:space="preserve"> –</w:t>
      </w:r>
      <w:proofErr w:type="gramEnd"/>
      <w:r w:rsidRPr="00E53C28">
        <w:rPr>
          <w:rFonts w:cs="Calibri"/>
        </w:rPr>
        <w:t xml:space="preserve"> </w:t>
      </w:r>
      <w:r w:rsidR="003E5133" w:rsidRPr="00E53C28">
        <w:rPr>
          <w:rFonts w:cs="Calibri"/>
        </w:rPr>
        <w:t>Albion to assess</w:t>
      </w:r>
    </w:p>
    <w:p w14:paraId="096FF088" w14:textId="6DF21910" w:rsidR="00513EFE" w:rsidRPr="00E53C28" w:rsidRDefault="00513EFE" w:rsidP="00E6757C">
      <w:pPr>
        <w:rPr>
          <w:rFonts w:cs="Calibri"/>
        </w:rPr>
      </w:pPr>
      <w:r w:rsidRPr="00E53C28">
        <w:rPr>
          <w:rFonts w:cs="Calibri"/>
        </w:rPr>
        <w:t>IPT (</w:t>
      </w:r>
      <w:r w:rsidR="001D71B3" w:rsidRPr="00E53C28">
        <w:rPr>
          <w:rFonts w:cs="Calibri"/>
        </w:rPr>
        <w:t>insurance</w:t>
      </w:r>
      <w:r w:rsidRPr="00E53C28">
        <w:rPr>
          <w:rFonts w:cs="Calibri"/>
        </w:rPr>
        <w:t xml:space="preserve"> premium tax) current rate is at 12% </w:t>
      </w:r>
    </w:p>
    <w:p w14:paraId="1C1B7933" w14:textId="5DE4441E" w:rsidR="006F5B33" w:rsidRPr="00E53C28" w:rsidRDefault="006F5B33" w:rsidP="00E6757C">
      <w:pPr>
        <w:rPr>
          <w:rFonts w:cs="Calibri"/>
        </w:rPr>
      </w:pPr>
      <w:r w:rsidRPr="00E53C28">
        <w:rPr>
          <w:rFonts w:cs="Calibri"/>
        </w:rPr>
        <w:t>The above rates are on the basis that the client is claim free, therefore is the client has over 250 employees and/ or the other referral criteria applies (see below) this would need to be referred to Albion for a bespoke quote as the standard rates may not apply.</w:t>
      </w:r>
    </w:p>
    <w:p w14:paraId="3EA9B150" w14:textId="77777777" w:rsidR="00D73DEA" w:rsidRPr="00E53C28" w:rsidRDefault="00D73DEA" w:rsidP="00E6757C">
      <w:pPr>
        <w:rPr>
          <w:rFonts w:cs="Calibri"/>
        </w:rPr>
      </w:pPr>
      <w:r w:rsidRPr="00E53C28">
        <w:rPr>
          <w:rFonts w:cs="Calibri"/>
        </w:rPr>
        <w:t xml:space="preserve">Referral </w:t>
      </w:r>
      <w:proofErr w:type="gramStart"/>
      <w:r w:rsidRPr="00E53C28">
        <w:rPr>
          <w:rFonts w:cs="Calibri"/>
        </w:rPr>
        <w:t>criteria:-</w:t>
      </w:r>
      <w:proofErr w:type="gramEnd"/>
    </w:p>
    <w:p w14:paraId="0F041C30" w14:textId="77777777" w:rsidR="00D73DEA" w:rsidRPr="00E53C28" w:rsidRDefault="00D73DEA" w:rsidP="00E6757C">
      <w:pPr>
        <w:pStyle w:val="ListParagraph"/>
        <w:numPr>
          <w:ilvl w:val="0"/>
          <w:numId w:val="11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Calibri"/>
        </w:rPr>
      </w:pPr>
      <w:r w:rsidRPr="00E53C28">
        <w:rPr>
          <w:rFonts w:eastAsia="Times New Roman" w:cs="Calibri"/>
        </w:rPr>
        <w:t>Any members who have had an employment dispute in the last three years.</w:t>
      </w:r>
    </w:p>
    <w:p w14:paraId="2BBA13E9" w14:textId="77777777" w:rsidR="00D73DEA" w:rsidRPr="00E53C28" w:rsidRDefault="00D73DEA" w:rsidP="00E6757C">
      <w:pPr>
        <w:pStyle w:val="ListParagraph"/>
        <w:numPr>
          <w:ilvl w:val="0"/>
          <w:numId w:val="11"/>
        </w:numPr>
        <w:suppressAutoHyphens w:val="0"/>
        <w:autoSpaceDN/>
        <w:spacing w:before="120" w:after="120"/>
        <w:jc w:val="both"/>
        <w:textAlignment w:val="auto"/>
        <w:rPr>
          <w:rFonts w:eastAsia="Times New Roman" w:cs="Calibri"/>
        </w:rPr>
      </w:pPr>
      <w:r w:rsidRPr="00E53C28">
        <w:rPr>
          <w:rFonts w:eastAsia="Times New Roman" w:cs="Calibri"/>
        </w:rPr>
        <w:t>Any members who have been refused legal expense insurance or had renewal declines or had any special conditions applied.</w:t>
      </w:r>
    </w:p>
    <w:p w14:paraId="1C9AAD82" w14:textId="77777777" w:rsidR="00D73DEA" w:rsidRPr="00E53C28" w:rsidRDefault="00D73DEA" w:rsidP="00E6757C">
      <w:pPr>
        <w:pStyle w:val="ListParagraph"/>
        <w:numPr>
          <w:ilvl w:val="0"/>
          <w:numId w:val="11"/>
        </w:numPr>
        <w:suppressAutoHyphens w:val="0"/>
        <w:autoSpaceDN/>
        <w:spacing w:after="0"/>
        <w:textAlignment w:val="auto"/>
        <w:rPr>
          <w:rFonts w:eastAsia="Times New Roman" w:cs="Calibri"/>
        </w:rPr>
      </w:pPr>
      <w:r w:rsidRPr="00E53C28">
        <w:rPr>
          <w:rFonts w:eastAsia="Times New Roman" w:cs="Calibri"/>
        </w:rPr>
        <w:t>Any members who have a known pre-existing cause event or circumstance which may give rise to a claim on this insurance.</w:t>
      </w:r>
    </w:p>
    <w:p w14:paraId="2FC38631" w14:textId="58F5D735" w:rsidR="00CE4E48" w:rsidRPr="00E53C28" w:rsidRDefault="00CE4E48" w:rsidP="009E3BD1">
      <w:pPr>
        <w:suppressAutoHyphens w:val="0"/>
        <w:autoSpaceDN/>
        <w:spacing w:after="0"/>
        <w:ind w:left="360"/>
        <w:textAlignment w:val="auto"/>
        <w:rPr>
          <w:rFonts w:eastAsia="Times New Roman" w:cs="Calibri"/>
        </w:rPr>
      </w:pPr>
    </w:p>
    <w:p w14:paraId="77776CD3" w14:textId="2AB0F247" w:rsidR="00D73DEA" w:rsidRPr="00E53C28" w:rsidRDefault="009E3BD1" w:rsidP="004F368E">
      <w:pPr>
        <w:jc w:val="both"/>
        <w:rPr>
          <w:rFonts w:cs="Calibri"/>
        </w:rPr>
      </w:pPr>
      <w:r w:rsidRPr="00E53C28">
        <w:rPr>
          <w:rFonts w:cs="Calibri"/>
        </w:rPr>
        <w:t xml:space="preserve">The cover options are bespoke if required and you </w:t>
      </w:r>
      <w:proofErr w:type="gramStart"/>
      <w:r w:rsidRPr="00E53C28">
        <w:rPr>
          <w:rFonts w:cs="Calibri"/>
        </w:rPr>
        <w:t>are able to</w:t>
      </w:r>
      <w:proofErr w:type="gramEnd"/>
      <w:r w:rsidRPr="00E53C28">
        <w:rPr>
          <w:rFonts w:cs="Calibri"/>
        </w:rPr>
        <w:t xml:space="preserve"> adjust excess or indemnity limit to suit your requirements and manage the monthly premium levels. </w:t>
      </w:r>
    </w:p>
    <w:p w14:paraId="7D63D5EC" w14:textId="4C799731" w:rsidR="00A30198" w:rsidRPr="00E53C28" w:rsidRDefault="00A30198" w:rsidP="00080703">
      <w:pPr>
        <w:pStyle w:val="Heading2"/>
        <w:rPr>
          <w:rFonts w:ascii="Calibri" w:hAnsi="Calibri" w:cs="Calibri"/>
        </w:rPr>
      </w:pPr>
      <w:r w:rsidRPr="00E53C28">
        <w:rPr>
          <w:rFonts w:ascii="Calibri" w:hAnsi="Calibri" w:cs="Calibri"/>
        </w:rPr>
        <w:lastRenderedPageBreak/>
        <w:t xml:space="preserve">Conclusion </w:t>
      </w:r>
    </w:p>
    <w:p w14:paraId="40C9A453" w14:textId="469CA4CD" w:rsidR="00A34545" w:rsidRPr="00E53C28" w:rsidRDefault="00A34545" w:rsidP="00A34545">
      <w:pPr>
        <w:jc w:val="both"/>
        <w:rPr>
          <w:rFonts w:cs="Calibri"/>
        </w:rPr>
      </w:pPr>
      <w:r w:rsidRPr="00E53C28">
        <w:rPr>
          <w:rFonts w:cs="Calibri"/>
        </w:rPr>
        <w:t>As employer</w:t>
      </w:r>
      <w:r w:rsidR="00E129F2" w:rsidRPr="00E53C28">
        <w:rPr>
          <w:rFonts w:cs="Calibri"/>
        </w:rPr>
        <w:t>s</w:t>
      </w:r>
      <w:r w:rsidRPr="00E53C28">
        <w:rPr>
          <w:rFonts w:cs="Calibri"/>
        </w:rPr>
        <w:t xml:space="preserve"> </w:t>
      </w:r>
      <w:r w:rsidR="003404EE" w:rsidRPr="00E53C28">
        <w:rPr>
          <w:rFonts w:cs="Calibri"/>
        </w:rPr>
        <w:t xml:space="preserve">become more embroiled in </w:t>
      </w:r>
      <w:r w:rsidRPr="00E53C28">
        <w:rPr>
          <w:rFonts w:cs="Calibri"/>
        </w:rPr>
        <w:t xml:space="preserve">an increasingly litigious work </w:t>
      </w:r>
      <w:r w:rsidR="00C46428" w:rsidRPr="00E53C28">
        <w:rPr>
          <w:rFonts w:cs="Calibri"/>
        </w:rPr>
        <w:t xml:space="preserve">environment in which employment law is subject to </w:t>
      </w:r>
      <w:r w:rsidR="00B865EF" w:rsidRPr="00E53C28">
        <w:rPr>
          <w:rFonts w:cs="Calibri"/>
        </w:rPr>
        <w:t>frequent</w:t>
      </w:r>
      <w:r w:rsidR="00C46428" w:rsidRPr="00E53C28">
        <w:rPr>
          <w:rFonts w:cs="Calibri"/>
        </w:rPr>
        <w:t xml:space="preserve"> changes, we believe this proposal provides a valuable and </w:t>
      </w:r>
      <w:r w:rsidR="00BB0597" w:rsidRPr="00E53C28">
        <w:rPr>
          <w:rFonts w:cs="Calibri"/>
        </w:rPr>
        <w:t>cost-effective</w:t>
      </w:r>
      <w:r w:rsidR="00C46428" w:rsidRPr="00E53C28">
        <w:rPr>
          <w:rFonts w:cs="Calibri"/>
        </w:rPr>
        <w:t xml:space="preserve"> mo</w:t>
      </w:r>
      <w:r w:rsidR="003404EE" w:rsidRPr="00E53C28">
        <w:rPr>
          <w:rFonts w:cs="Calibri"/>
        </w:rPr>
        <w:t>del</w:t>
      </w:r>
      <w:r w:rsidR="00C46428" w:rsidRPr="00E53C28">
        <w:rPr>
          <w:rFonts w:cs="Calibri"/>
        </w:rPr>
        <w:t xml:space="preserve"> for risk management. </w:t>
      </w:r>
    </w:p>
    <w:p w14:paraId="457A3C4E" w14:textId="389C9BC3" w:rsidR="00CD5734" w:rsidRPr="00E53C28" w:rsidRDefault="00FE72A1" w:rsidP="00A34545">
      <w:pPr>
        <w:jc w:val="both"/>
        <w:rPr>
          <w:rFonts w:cs="Calibri"/>
        </w:rPr>
      </w:pPr>
      <w:r w:rsidRPr="00E53C28">
        <w:rPr>
          <w:rFonts w:cs="Calibri"/>
        </w:rPr>
        <w:t xml:space="preserve">The </w:t>
      </w:r>
      <w:r w:rsidR="00BB0597" w:rsidRPr="00E53C28">
        <w:rPr>
          <w:rFonts w:cs="Calibri"/>
        </w:rPr>
        <w:t>insurance-based</w:t>
      </w:r>
      <w:r w:rsidRPr="00E53C28">
        <w:rPr>
          <w:rFonts w:cs="Calibri"/>
        </w:rPr>
        <w:t xml:space="preserve"> indemnity is entirely voluntary and has no impact at all on the </w:t>
      </w:r>
      <w:r w:rsidR="00ED5D89" w:rsidRPr="00E53C28">
        <w:rPr>
          <w:rFonts w:cs="Calibri"/>
        </w:rPr>
        <w:t xml:space="preserve">right of access Practices and PCNs already </w:t>
      </w:r>
      <w:r w:rsidR="00E63B02" w:rsidRPr="00E53C28">
        <w:rPr>
          <w:rFonts w:cs="Calibri"/>
        </w:rPr>
        <w:t xml:space="preserve">have with </w:t>
      </w:r>
      <w:r w:rsidR="00ED5D89" w:rsidRPr="00E53C28">
        <w:rPr>
          <w:rFonts w:cs="Calibri"/>
        </w:rPr>
        <w:t xml:space="preserve">the specialist </w:t>
      </w:r>
      <w:r w:rsidR="00DB1C0B" w:rsidRPr="00E53C28">
        <w:rPr>
          <w:rFonts w:cs="Calibri"/>
          <w:b/>
          <w:bCs/>
          <w:i/>
          <w:iCs/>
          <w:u w:val="single"/>
        </w:rPr>
        <w:t xml:space="preserve">FREE </w:t>
      </w:r>
      <w:r w:rsidR="00ED5D89" w:rsidRPr="00E53C28">
        <w:rPr>
          <w:rFonts w:cs="Calibri"/>
          <w:b/>
          <w:bCs/>
          <w:i/>
          <w:iCs/>
          <w:u w:val="single"/>
        </w:rPr>
        <w:t xml:space="preserve">LMC HR </w:t>
      </w:r>
      <w:r w:rsidR="00433F31" w:rsidRPr="00E53C28">
        <w:rPr>
          <w:rFonts w:cs="Calibri"/>
          <w:b/>
          <w:bCs/>
          <w:i/>
          <w:iCs/>
          <w:u w:val="single"/>
        </w:rPr>
        <w:t>ADVISORY SERVICE</w:t>
      </w:r>
      <w:r w:rsidR="00FE534D" w:rsidRPr="00E53C28">
        <w:rPr>
          <w:rFonts w:cs="Calibri"/>
        </w:rPr>
        <w:t xml:space="preserve">, provided by experienced qualified HR practitioners and backed by </w:t>
      </w:r>
      <w:r w:rsidR="00E347C0" w:rsidRPr="00E53C28">
        <w:rPr>
          <w:rFonts w:cs="Calibri"/>
        </w:rPr>
        <w:t xml:space="preserve">expert specialist employment law advisors. </w:t>
      </w:r>
      <w:r w:rsidR="00694AFD" w:rsidRPr="00E53C28">
        <w:rPr>
          <w:rFonts w:cs="Calibri"/>
        </w:rPr>
        <w:t xml:space="preserve">For further information about the scope </w:t>
      </w:r>
      <w:r w:rsidR="00B7230A" w:rsidRPr="00E53C28">
        <w:rPr>
          <w:rFonts w:cs="Calibri"/>
        </w:rPr>
        <w:t xml:space="preserve">and range of services available </w:t>
      </w:r>
      <w:r w:rsidR="00234F98" w:rsidRPr="00E53C28">
        <w:rPr>
          <w:rFonts w:cs="Calibri"/>
        </w:rPr>
        <w:t>please contact Stevie Simpkin</w:t>
      </w:r>
      <w:r w:rsidR="00B622AD" w:rsidRPr="00E53C28">
        <w:rPr>
          <w:rFonts w:cs="Calibri"/>
        </w:rPr>
        <w:t>, HR Service Lead,</w:t>
      </w:r>
      <w:r w:rsidR="00234F98" w:rsidRPr="00E53C28">
        <w:rPr>
          <w:rFonts w:cs="Calibri"/>
        </w:rPr>
        <w:t xml:space="preserve"> at the LMC</w:t>
      </w:r>
      <w:r w:rsidR="00B622AD" w:rsidRPr="00E53C28">
        <w:rPr>
          <w:rFonts w:cs="Calibri"/>
        </w:rPr>
        <w:t xml:space="preserve"> (see below).</w:t>
      </w:r>
      <w:r w:rsidR="00234F98" w:rsidRPr="00E53C28">
        <w:rPr>
          <w:rFonts w:cs="Calibri"/>
        </w:rPr>
        <w:t xml:space="preserve"> </w:t>
      </w:r>
    </w:p>
    <w:p w14:paraId="191F7E6E" w14:textId="5DBFE78A" w:rsidR="00FA3616" w:rsidRPr="00E53C28" w:rsidRDefault="00FA3616" w:rsidP="00A34545">
      <w:pPr>
        <w:jc w:val="both"/>
        <w:rPr>
          <w:rFonts w:cs="Calibri"/>
        </w:rPr>
      </w:pPr>
      <w:r w:rsidRPr="00E53C28">
        <w:rPr>
          <w:rFonts w:cs="Calibri"/>
        </w:rPr>
        <w:t xml:space="preserve">Any Practices/ PCNs wishing to sign up for , or renew, indemnity based insurance cover as provided by the proposed scheme </w:t>
      </w:r>
      <w:r w:rsidR="00C107C1" w:rsidRPr="00E53C28">
        <w:rPr>
          <w:rFonts w:cs="Calibri"/>
        </w:rPr>
        <w:t xml:space="preserve">should contact Stevie Simpkin HR Service Lead </w:t>
      </w:r>
      <w:r w:rsidR="009428AE" w:rsidRPr="00E53C28">
        <w:rPr>
          <w:rFonts w:cs="Calibri"/>
        </w:rPr>
        <w:t>(</w:t>
      </w:r>
      <w:hyperlink r:id="rId11" w:history="1">
        <w:r w:rsidR="009428AE" w:rsidRPr="00E53C28">
          <w:rPr>
            <w:rStyle w:val="Hyperlink"/>
            <w:rFonts w:cs="Calibri"/>
          </w:rPr>
          <w:t>stevie.simpkin@nwlmcs.org</w:t>
        </w:r>
      </w:hyperlink>
      <w:r w:rsidR="009428AE" w:rsidRPr="00E53C28">
        <w:rPr>
          <w:rFonts w:cs="Calibri"/>
        </w:rPr>
        <w:t xml:space="preserve">) </w:t>
      </w:r>
      <w:r w:rsidR="00C107C1" w:rsidRPr="00E53C28">
        <w:rPr>
          <w:rFonts w:cs="Calibri"/>
        </w:rPr>
        <w:t>at the LMC in the first instance, who will provide the necessary contact details for liaison with ALS Albion Ltd.</w:t>
      </w:r>
    </w:p>
    <w:sectPr w:rsidR="00FA3616" w:rsidRPr="00E53C28" w:rsidSect="00D425EB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1247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C655" w14:textId="77777777" w:rsidR="000A5F38" w:rsidRDefault="000A5F38">
      <w:pPr>
        <w:spacing w:after="0" w:line="240" w:lineRule="auto"/>
      </w:pPr>
      <w:r>
        <w:separator/>
      </w:r>
    </w:p>
  </w:endnote>
  <w:endnote w:type="continuationSeparator" w:id="0">
    <w:p w14:paraId="74D663C8" w14:textId="77777777" w:rsidR="000A5F38" w:rsidRDefault="000A5F38">
      <w:pPr>
        <w:spacing w:after="0" w:line="240" w:lineRule="auto"/>
      </w:pPr>
      <w:r>
        <w:continuationSeparator/>
      </w:r>
    </w:p>
  </w:endnote>
  <w:endnote w:type="continuationNotice" w:id="1">
    <w:p w14:paraId="38303D42" w14:textId="77777777" w:rsidR="000A5F38" w:rsidRDefault="000A5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87E5" w14:textId="6FCBD271" w:rsidR="003252CC" w:rsidRPr="005D7BDB" w:rsidRDefault="003252CC" w:rsidP="003252CC">
    <w:pPr>
      <w:pStyle w:val="Footer"/>
      <w:jc w:val="center"/>
      <w:rPr>
        <w:i/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73E9" w14:textId="77777777" w:rsidR="003252CC" w:rsidRPr="005D7BDB" w:rsidRDefault="003252CC" w:rsidP="003252CC">
    <w:pPr>
      <w:pStyle w:val="Footer"/>
      <w:jc w:val="center"/>
      <w:rPr>
        <w:b/>
        <w:i/>
        <w:color w:val="A6A6A6" w:themeColor="background1" w:themeShade="A6"/>
      </w:rPr>
    </w:pPr>
    <w:r w:rsidRPr="005D7BDB">
      <w:rPr>
        <w:b/>
        <w:i/>
        <w:color w:val="A6A6A6" w:themeColor="background1" w:themeShade="A6"/>
      </w:rPr>
      <w:t>Lancashire &amp; Cumbria Consortium of LMCs</w:t>
    </w:r>
  </w:p>
  <w:p w14:paraId="0D8373CF" w14:textId="77777777" w:rsidR="003252CC" w:rsidRPr="005D7BDB" w:rsidRDefault="003252CC" w:rsidP="003252CC">
    <w:pPr>
      <w:pStyle w:val="Footer"/>
      <w:jc w:val="center"/>
      <w:rPr>
        <w:i/>
        <w:color w:val="A6A6A6" w:themeColor="background1" w:themeShade="A6"/>
      </w:rPr>
    </w:pPr>
    <w:r w:rsidRPr="005D7BDB">
      <w:rPr>
        <w:i/>
        <w:color w:val="A6A6A6" w:themeColor="background1" w:themeShade="A6"/>
      </w:rPr>
      <w:t>Serving practices in Central, Coastal &amp; Pennine Lancashire and Cumbria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6238" w14:textId="6E89FC72" w:rsidR="003252CC" w:rsidRPr="005D7BDB" w:rsidRDefault="003252CC" w:rsidP="00584B07">
    <w:pPr>
      <w:pStyle w:val="Footer"/>
      <w:jc w:val="center"/>
      <w:rPr>
        <w:i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9FA3" w14:textId="77777777" w:rsidR="000A5F38" w:rsidRDefault="000A5F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08158D" w14:textId="77777777" w:rsidR="000A5F38" w:rsidRDefault="000A5F38">
      <w:pPr>
        <w:spacing w:after="0" w:line="240" w:lineRule="auto"/>
      </w:pPr>
      <w:r>
        <w:continuationSeparator/>
      </w:r>
    </w:p>
  </w:footnote>
  <w:footnote w:type="continuationNotice" w:id="1">
    <w:p w14:paraId="45321016" w14:textId="77777777" w:rsidR="000A5F38" w:rsidRDefault="000A5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423F" w14:textId="720C61F1" w:rsidR="00C07D0B" w:rsidRDefault="00C07D0B" w:rsidP="00285356">
    <w:pPr>
      <w:pStyle w:val="IntenseQuote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Employment Liability Insurance</w:t>
    </w:r>
    <w:r w:rsidRPr="00C07D0B">
      <w:rPr>
        <w:rFonts w:ascii="Times New Roman" w:hAnsi="Times New Roman"/>
        <w:sz w:val="36"/>
        <w:szCs w:val="36"/>
      </w:rPr>
      <w:t xml:space="preserve"> </w:t>
    </w:r>
    <w:r w:rsidRPr="00A33864">
      <w:rPr>
        <w:rFonts w:ascii="Times New Roman" w:hAnsi="Times New Roman"/>
        <w:sz w:val="36"/>
        <w:szCs w:val="36"/>
      </w:rPr>
      <w:t xml:space="preserve">for Practices / PCNs  </w:t>
    </w:r>
  </w:p>
  <w:p w14:paraId="3BBCDB26" w14:textId="77E6536D" w:rsidR="00E14765" w:rsidRPr="00A33864" w:rsidRDefault="00C07D0B" w:rsidP="00285356">
    <w:pPr>
      <w:pStyle w:val="IntenseQuote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sz w:val="36"/>
        <w:szCs w:val="36"/>
      </w:rPr>
      <w:t>LMC -</w:t>
    </w:r>
    <w:r w:rsidR="00AA6162" w:rsidRPr="00A33864">
      <w:rPr>
        <w:rFonts w:ascii="Times New Roman" w:hAnsi="Times New Roman"/>
        <w:sz w:val="36"/>
        <w:szCs w:val="36"/>
      </w:rPr>
      <w:t xml:space="preserve"> </w:t>
    </w:r>
    <w:r w:rsidR="007E0465">
      <w:rPr>
        <w:rFonts w:ascii="Times New Roman" w:hAnsi="Times New Roman"/>
        <w:sz w:val="36"/>
        <w:szCs w:val="36"/>
      </w:rPr>
      <w:t xml:space="preserve">ALS </w:t>
    </w:r>
    <w:r w:rsidR="00AA6162" w:rsidRPr="00A33864">
      <w:rPr>
        <w:rFonts w:ascii="Times New Roman" w:hAnsi="Times New Roman"/>
        <w:sz w:val="36"/>
        <w:szCs w:val="36"/>
      </w:rPr>
      <w:t>Albion</w:t>
    </w:r>
    <w:r w:rsidR="007E0465">
      <w:rPr>
        <w:rFonts w:ascii="Times New Roman" w:hAnsi="Times New Roman"/>
        <w:sz w:val="36"/>
        <w:szCs w:val="36"/>
      </w:rPr>
      <w:t xml:space="preserve"> Ltd.</w:t>
    </w:r>
    <w:r w:rsidR="00AA6162" w:rsidRPr="00A33864">
      <w:rPr>
        <w:rFonts w:ascii="Times New Roman" w:hAnsi="Times New Roman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F28"/>
    <w:multiLevelType w:val="hybridMultilevel"/>
    <w:tmpl w:val="CE621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292D"/>
    <w:multiLevelType w:val="hybridMultilevel"/>
    <w:tmpl w:val="C324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EDA"/>
    <w:multiLevelType w:val="hybridMultilevel"/>
    <w:tmpl w:val="B80C3932"/>
    <w:lvl w:ilvl="0" w:tplc="18A01CD0"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BFB3A87"/>
    <w:multiLevelType w:val="hybridMultilevel"/>
    <w:tmpl w:val="31305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742DB"/>
    <w:multiLevelType w:val="hybridMultilevel"/>
    <w:tmpl w:val="0848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20398"/>
    <w:multiLevelType w:val="hybridMultilevel"/>
    <w:tmpl w:val="0A98CE24"/>
    <w:lvl w:ilvl="0" w:tplc="8BE45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9798C"/>
    <w:multiLevelType w:val="hybridMultilevel"/>
    <w:tmpl w:val="66A66F2E"/>
    <w:lvl w:ilvl="0" w:tplc="18A01CD0"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FE"/>
    <w:multiLevelType w:val="hybridMultilevel"/>
    <w:tmpl w:val="75E407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BF7A46"/>
    <w:multiLevelType w:val="multilevel"/>
    <w:tmpl w:val="508457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D3A1CE8"/>
    <w:multiLevelType w:val="hybridMultilevel"/>
    <w:tmpl w:val="515211B2"/>
    <w:lvl w:ilvl="0" w:tplc="8BE45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214"/>
    <w:multiLevelType w:val="hybridMultilevel"/>
    <w:tmpl w:val="D0DC06EA"/>
    <w:lvl w:ilvl="0" w:tplc="8A9CF5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4109">
    <w:abstractNumId w:val="8"/>
  </w:num>
  <w:num w:numId="2" w16cid:durableId="988555342">
    <w:abstractNumId w:val="3"/>
  </w:num>
  <w:num w:numId="3" w16cid:durableId="44070064">
    <w:abstractNumId w:val="4"/>
  </w:num>
  <w:num w:numId="4" w16cid:durableId="596644943">
    <w:abstractNumId w:val="0"/>
  </w:num>
  <w:num w:numId="5" w16cid:durableId="3097862">
    <w:abstractNumId w:val="1"/>
  </w:num>
  <w:num w:numId="6" w16cid:durableId="542710627">
    <w:abstractNumId w:val="7"/>
  </w:num>
  <w:num w:numId="7" w16cid:durableId="3749347">
    <w:abstractNumId w:val="2"/>
  </w:num>
  <w:num w:numId="8" w16cid:durableId="1128665438">
    <w:abstractNumId w:val="6"/>
  </w:num>
  <w:num w:numId="9" w16cid:durableId="769546310">
    <w:abstractNumId w:val="5"/>
  </w:num>
  <w:num w:numId="10" w16cid:durableId="2021156546">
    <w:abstractNumId w:val="9"/>
  </w:num>
  <w:num w:numId="11" w16cid:durableId="11889844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3"/>
    <w:rsid w:val="0000468F"/>
    <w:rsid w:val="00010937"/>
    <w:rsid w:val="00016B5C"/>
    <w:rsid w:val="00017632"/>
    <w:rsid w:val="00021832"/>
    <w:rsid w:val="00022755"/>
    <w:rsid w:val="00024FAA"/>
    <w:rsid w:val="00041021"/>
    <w:rsid w:val="0004282E"/>
    <w:rsid w:val="000752B7"/>
    <w:rsid w:val="00080703"/>
    <w:rsid w:val="00091C4F"/>
    <w:rsid w:val="00093308"/>
    <w:rsid w:val="00094F2D"/>
    <w:rsid w:val="000A21FD"/>
    <w:rsid w:val="000A59A2"/>
    <w:rsid w:val="000A5F38"/>
    <w:rsid w:val="000B03A8"/>
    <w:rsid w:val="000C2C7F"/>
    <w:rsid w:val="000E21FF"/>
    <w:rsid w:val="000E254E"/>
    <w:rsid w:val="001065A4"/>
    <w:rsid w:val="00107825"/>
    <w:rsid w:val="00110A3C"/>
    <w:rsid w:val="00135843"/>
    <w:rsid w:val="00155A9D"/>
    <w:rsid w:val="00172DA6"/>
    <w:rsid w:val="0018281B"/>
    <w:rsid w:val="001831C0"/>
    <w:rsid w:val="00191E3B"/>
    <w:rsid w:val="001938C1"/>
    <w:rsid w:val="00196572"/>
    <w:rsid w:val="001D71B3"/>
    <w:rsid w:val="001E0793"/>
    <w:rsid w:val="002060D4"/>
    <w:rsid w:val="002133C4"/>
    <w:rsid w:val="00215B05"/>
    <w:rsid w:val="002164A7"/>
    <w:rsid w:val="00220CD7"/>
    <w:rsid w:val="00234F98"/>
    <w:rsid w:val="00243E43"/>
    <w:rsid w:val="002511BA"/>
    <w:rsid w:val="00254FD8"/>
    <w:rsid w:val="00265254"/>
    <w:rsid w:val="00280F24"/>
    <w:rsid w:val="00285356"/>
    <w:rsid w:val="00297B7B"/>
    <w:rsid w:val="002A5D20"/>
    <w:rsid w:val="002B14A2"/>
    <w:rsid w:val="002B770F"/>
    <w:rsid w:val="002D3A2B"/>
    <w:rsid w:val="002D4EBA"/>
    <w:rsid w:val="002E312F"/>
    <w:rsid w:val="002E3E4B"/>
    <w:rsid w:val="00305841"/>
    <w:rsid w:val="00312766"/>
    <w:rsid w:val="003252CC"/>
    <w:rsid w:val="003404EE"/>
    <w:rsid w:val="00347872"/>
    <w:rsid w:val="00352603"/>
    <w:rsid w:val="00357ED4"/>
    <w:rsid w:val="003601EC"/>
    <w:rsid w:val="00374EDC"/>
    <w:rsid w:val="003751E7"/>
    <w:rsid w:val="00390550"/>
    <w:rsid w:val="00397F12"/>
    <w:rsid w:val="003A2F33"/>
    <w:rsid w:val="003A7101"/>
    <w:rsid w:val="003C3340"/>
    <w:rsid w:val="003C6B06"/>
    <w:rsid w:val="003E3F85"/>
    <w:rsid w:val="003E5133"/>
    <w:rsid w:val="003E7F72"/>
    <w:rsid w:val="00433F31"/>
    <w:rsid w:val="004451AA"/>
    <w:rsid w:val="004527FF"/>
    <w:rsid w:val="00465A3A"/>
    <w:rsid w:val="004A39AB"/>
    <w:rsid w:val="004A3B83"/>
    <w:rsid w:val="004B62E2"/>
    <w:rsid w:val="004D32F5"/>
    <w:rsid w:val="004E36B9"/>
    <w:rsid w:val="004F11F5"/>
    <w:rsid w:val="004F368E"/>
    <w:rsid w:val="004F4E96"/>
    <w:rsid w:val="00504AE6"/>
    <w:rsid w:val="0051186F"/>
    <w:rsid w:val="00513EFE"/>
    <w:rsid w:val="0051736A"/>
    <w:rsid w:val="00521BBE"/>
    <w:rsid w:val="00540CDF"/>
    <w:rsid w:val="00584B07"/>
    <w:rsid w:val="005A4234"/>
    <w:rsid w:val="005D28EF"/>
    <w:rsid w:val="005E6D32"/>
    <w:rsid w:val="005E7155"/>
    <w:rsid w:val="006134CA"/>
    <w:rsid w:val="00614A5E"/>
    <w:rsid w:val="0063713E"/>
    <w:rsid w:val="006551B6"/>
    <w:rsid w:val="0065534D"/>
    <w:rsid w:val="00662349"/>
    <w:rsid w:val="006868FE"/>
    <w:rsid w:val="00694AFD"/>
    <w:rsid w:val="006A09E6"/>
    <w:rsid w:val="006B3BD5"/>
    <w:rsid w:val="006E6F41"/>
    <w:rsid w:val="006F5B33"/>
    <w:rsid w:val="00711B9C"/>
    <w:rsid w:val="00714F11"/>
    <w:rsid w:val="00725128"/>
    <w:rsid w:val="007340DD"/>
    <w:rsid w:val="00752494"/>
    <w:rsid w:val="00756BEB"/>
    <w:rsid w:val="0076324B"/>
    <w:rsid w:val="00776527"/>
    <w:rsid w:val="00790155"/>
    <w:rsid w:val="007A1A51"/>
    <w:rsid w:val="007B0561"/>
    <w:rsid w:val="007E015F"/>
    <w:rsid w:val="007E0465"/>
    <w:rsid w:val="007E7B09"/>
    <w:rsid w:val="007F1D87"/>
    <w:rsid w:val="008349ED"/>
    <w:rsid w:val="0084058D"/>
    <w:rsid w:val="008624F1"/>
    <w:rsid w:val="0086785A"/>
    <w:rsid w:val="00877F7D"/>
    <w:rsid w:val="0088614A"/>
    <w:rsid w:val="00895566"/>
    <w:rsid w:val="008B264E"/>
    <w:rsid w:val="008C310C"/>
    <w:rsid w:val="008C44FB"/>
    <w:rsid w:val="009017E4"/>
    <w:rsid w:val="0090386E"/>
    <w:rsid w:val="00907989"/>
    <w:rsid w:val="00910231"/>
    <w:rsid w:val="00925ED0"/>
    <w:rsid w:val="00927E41"/>
    <w:rsid w:val="009428AE"/>
    <w:rsid w:val="0094349A"/>
    <w:rsid w:val="009477D1"/>
    <w:rsid w:val="009479E4"/>
    <w:rsid w:val="00954270"/>
    <w:rsid w:val="00954F87"/>
    <w:rsid w:val="00955289"/>
    <w:rsid w:val="0097754F"/>
    <w:rsid w:val="00983F02"/>
    <w:rsid w:val="00996788"/>
    <w:rsid w:val="0099780B"/>
    <w:rsid w:val="009A01EC"/>
    <w:rsid w:val="009B5A49"/>
    <w:rsid w:val="009B697D"/>
    <w:rsid w:val="009C7288"/>
    <w:rsid w:val="009D3C49"/>
    <w:rsid w:val="009E2369"/>
    <w:rsid w:val="009E3BD1"/>
    <w:rsid w:val="00A23FE3"/>
    <w:rsid w:val="00A30198"/>
    <w:rsid w:val="00A33864"/>
    <w:rsid w:val="00A34545"/>
    <w:rsid w:val="00A420CD"/>
    <w:rsid w:val="00A50909"/>
    <w:rsid w:val="00A617D5"/>
    <w:rsid w:val="00A71B60"/>
    <w:rsid w:val="00A80039"/>
    <w:rsid w:val="00A903D6"/>
    <w:rsid w:val="00AA4909"/>
    <w:rsid w:val="00AA5BEB"/>
    <w:rsid w:val="00AA6162"/>
    <w:rsid w:val="00AB11E2"/>
    <w:rsid w:val="00AD10FE"/>
    <w:rsid w:val="00AD486A"/>
    <w:rsid w:val="00AD5E2A"/>
    <w:rsid w:val="00AE05E6"/>
    <w:rsid w:val="00AE0666"/>
    <w:rsid w:val="00AF727C"/>
    <w:rsid w:val="00B138E4"/>
    <w:rsid w:val="00B238B1"/>
    <w:rsid w:val="00B26425"/>
    <w:rsid w:val="00B46980"/>
    <w:rsid w:val="00B50C57"/>
    <w:rsid w:val="00B622AD"/>
    <w:rsid w:val="00B6328C"/>
    <w:rsid w:val="00B66881"/>
    <w:rsid w:val="00B67918"/>
    <w:rsid w:val="00B7230A"/>
    <w:rsid w:val="00B83F99"/>
    <w:rsid w:val="00B851C8"/>
    <w:rsid w:val="00B865EF"/>
    <w:rsid w:val="00B94BE1"/>
    <w:rsid w:val="00BA1698"/>
    <w:rsid w:val="00BA7C11"/>
    <w:rsid w:val="00BB03E7"/>
    <w:rsid w:val="00BB0597"/>
    <w:rsid w:val="00BD01FA"/>
    <w:rsid w:val="00BD4BD1"/>
    <w:rsid w:val="00BE2DA6"/>
    <w:rsid w:val="00BE4D92"/>
    <w:rsid w:val="00BF4B1E"/>
    <w:rsid w:val="00C05642"/>
    <w:rsid w:val="00C061BB"/>
    <w:rsid w:val="00C07D0B"/>
    <w:rsid w:val="00C107C1"/>
    <w:rsid w:val="00C31DFD"/>
    <w:rsid w:val="00C3439C"/>
    <w:rsid w:val="00C43083"/>
    <w:rsid w:val="00C46428"/>
    <w:rsid w:val="00C71346"/>
    <w:rsid w:val="00C725D5"/>
    <w:rsid w:val="00CA1BEC"/>
    <w:rsid w:val="00CA4FCC"/>
    <w:rsid w:val="00CD355B"/>
    <w:rsid w:val="00CD5734"/>
    <w:rsid w:val="00CE4E48"/>
    <w:rsid w:val="00D048FD"/>
    <w:rsid w:val="00D10B46"/>
    <w:rsid w:val="00D30F65"/>
    <w:rsid w:val="00D340D1"/>
    <w:rsid w:val="00D425EB"/>
    <w:rsid w:val="00D44376"/>
    <w:rsid w:val="00D55440"/>
    <w:rsid w:val="00D560F3"/>
    <w:rsid w:val="00D6065B"/>
    <w:rsid w:val="00D64A4C"/>
    <w:rsid w:val="00D73DEA"/>
    <w:rsid w:val="00D73E05"/>
    <w:rsid w:val="00D74D67"/>
    <w:rsid w:val="00D83C00"/>
    <w:rsid w:val="00D86B3A"/>
    <w:rsid w:val="00D9683E"/>
    <w:rsid w:val="00DA774E"/>
    <w:rsid w:val="00DB1C0B"/>
    <w:rsid w:val="00DC5049"/>
    <w:rsid w:val="00DC6C0F"/>
    <w:rsid w:val="00DD7F8E"/>
    <w:rsid w:val="00E05BF4"/>
    <w:rsid w:val="00E0632C"/>
    <w:rsid w:val="00E129F2"/>
    <w:rsid w:val="00E13773"/>
    <w:rsid w:val="00E14765"/>
    <w:rsid w:val="00E17587"/>
    <w:rsid w:val="00E21246"/>
    <w:rsid w:val="00E22247"/>
    <w:rsid w:val="00E22C23"/>
    <w:rsid w:val="00E347C0"/>
    <w:rsid w:val="00E42833"/>
    <w:rsid w:val="00E441E0"/>
    <w:rsid w:val="00E53C28"/>
    <w:rsid w:val="00E6331B"/>
    <w:rsid w:val="00E63B02"/>
    <w:rsid w:val="00E6757C"/>
    <w:rsid w:val="00E71B31"/>
    <w:rsid w:val="00E73F1B"/>
    <w:rsid w:val="00EA3C28"/>
    <w:rsid w:val="00EC14AA"/>
    <w:rsid w:val="00EC4413"/>
    <w:rsid w:val="00ED5D89"/>
    <w:rsid w:val="00EE02DC"/>
    <w:rsid w:val="00EE12FE"/>
    <w:rsid w:val="00EF5762"/>
    <w:rsid w:val="00EF63BB"/>
    <w:rsid w:val="00F070E1"/>
    <w:rsid w:val="00F1199C"/>
    <w:rsid w:val="00F2442D"/>
    <w:rsid w:val="00F24AAD"/>
    <w:rsid w:val="00F4226D"/>
    <w:rsid w:val="00F438E4"/>
    <w:rsid w:val="00F46836"/>
    <w:rsid w:val="00F55103"/>
    <w:rsid w:val="00F553B9"/>
    <w:rsid w:val="00F566AB"/>
    <w:rsid w:val="00F9273D"/>
    <w:rsid w:val="00F93F00"/>
    <w:rsid w:val="00FA3616"/>
    <w:rsid w:val="00FA6928"/>
    <w:rsid w:val="00FE0456"/>
    <w:rsid w:val="00FE534D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31E40"/>
  <w15:docId w15:val="{11E2A574-F7A9-4007-9F93-2F4B379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80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SenderAddress">
    <w:name w:val="Sender Address"/>
    <w:basedOn w:val="NoSpacing"/>
    <w:pPr>
      <w:suppressAutoHyphens w:val="0"/>
      <w:spacing w:after="200"/>
      <w:textAlignment w:val="auto"/>
    </w:pPr>
    <w:rPr>
      <w:color w:val="1F497D"/>
      <w:sz w:val="23"/>
      <w:szCs w:val="20"/>
      <w:lang w:val="en-US" w:eastAsia="ja-JP"/>
    </w:rPr>
  </w:style>
  <w:style w:type="paragraph" w:styleId="Date">
    <w:name w:val="Date"/>
    <w:basedOn w:val="NoSpacing"/>
    <w:next w:val="Normal"/>
    <w:pPr>
      <w:suppressAutoHyphens w:val="0"/>
      <w:jc w:val="center"/>
      <w:textAlignment w:val="auto"/>
    </w:pPr>
    <w:rPr>
      <w:b/>
      <w:color w:val="FFFFFF"/>
      <w:sz w:val="23"/>
      <w:szCs w:val="20"/>
      <w:lang w:val="en-US" w:eastAsia="ja-JP"/>
    </w:rPr>
  </w:style>
  <w:style w:type="character" w:customStyle="1" w:styleId="DateChar">
    <w:name w:val="Date Char"/>
    <w:basedOn w:val="DefaultParagraphFont"/>
    <w:rPr>
      <w:rFonts w:ascii="Calibri" w:eastAsia="Calibri" w:hAnsi="Calibri" w:cs="Times New Roman"/>
      <w:b/>
      <w:color w:val="FFFFFF"/>
      <w:sz w:val="23"/>
      <w:szCs w:val="20"/>
      <w:lang w:val="en-US" w:eastAsia="ja-JP"/>
    </w:rPr>
  </w:style>
  <w:style w:type="paragraph" w:styleId="Signature">
    <w:name w:val="Signature"/>
    <w:basedOn w:val="Normal"/>
    <w:pPr>
      <w:suppressAutoHyphens w:val="0"/>
      <w:spacing w:after="180" w:line="264" w:lineRule="auto"/>
      <w:textAlignment w:val="auto"/>
    </w:pPr>
    <w:rPr>
      <w:b/>
      <w:sz w:val="23"/>
      <w:szCs w:val="20"/>
      <w:lang w:val="en-US" w:eastAsia="ja-JP"/>
    </w:rPr>
  </w:style>
  <w:style w:type="character" w:customStyle="1" w:styleId="SignatureChar">
    <w:name w:val="Signature Char"/>
    <w:basedOn w:val="DefaultParagraphFont"/>
    <w:rPr>
      <w:rFonts w:ascii="Calibri" w:eastAsia="Calibri" w:hAnsi="Calibri" w:cs="Times New Roman"/>
      <w:b/>
      <w:sz w:val="23"/>
      <w:szCs w:val="20"/>
      <w:lang w:val="en-US" w:eastAsia="ja-JP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Body">
    <w:name w:val="Body"/>
    <w:rsid w:val="00465A3A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0" w:line="240" w:lineRule="auto"/>
      <w:textAlignment w:val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Default">
    <w:name w:val="Default"/>
    <w:rsid w:val="00110A3C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535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5356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34C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34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34C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807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7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ie.simpkin@nwlmc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E89E663F4C8498772338D62917A95" ma:contentTypeVersion="8" ma:contentTypeDescription="Create a new document." ma:contentTypeScope="" ma:versionID="748360b266ef104c2557f992cd60beeb">
  <xsd:schema xmlns:xsd="http://www.w3.org/2001/XMLSchema" xmlns:xs="http://www.w3.org/2001/XMLSchema" xmlns:p="http://schemas.microsoft.com/office/2006/metadata/properties" xmlns:ns2="af24ab2d-c015-4cc7-9cfd-5456fe4f6598" xmlns:ns3="33e73b4c-8ede-448e-a8d5-258df5ed0be1" targetNamespace="http://schemas.microsoft.com/office/2006/metadata/properties" ma:root="true" ma:fieldsID="098a0c02771198e341c599672e1a72ec" ns2:_="" ns3:_="">
    <xsd:import namespace="af24ab2d-c015-4cc7-9cfd-5456fe4f6598"/>
    <xsd:import namespace="33e73b4c-8ede-448e-a8d5-258df5ed0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4ab2d-c015-4cc7-9cfd-5456fe4f6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73b4c-8ede-448e-a8d5-258df5ed0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F9B2A-527A-46CC-AAEE-CF2A6ADFF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F90C3-F2FE-42B0-A688-A35DB8BD17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924F86-88AE-46B9-80F2-99FDEE0F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4ab2d-c015-4cc7-9cfd-5456fe4f6598"/>
    <ds:schemaRef ds:uri="33e73b4c-8ede-448e-a8d5-258df5ed0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67BA-255A-4E93-824A-8275AC39A9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Mulberry Mariah (LMC)</cp:lastModifiedBy>
  <cp:revision>2</cp:revision>
  <cp:lastPrinted>2023-10-09T14:09:00Z</cp:lastPrinted>
  <dcterms:created xsi:type="dcterms:W3CDTF">2023-10-19T08:53:00Z</dcterms:created>
  <dcterms:modified xsi:type="dcterms:W3CDTF">2023-10-19T08:53:00Z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0x01010083FE89E663F4C8498772338D62917A95</vt:lpwstr>
  </property>
  <property fmtid="{D5CDD505-2E9C-101B-9397-08002B2CF9AE}" pid="3" name="AuthorIds_UIVersion_1024">
    <vt:lpwstr>12</vt:lpwstr>
  </property>
</Properties>
</file>